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FB6B4A" w:rsidRDefault="00FB6B4A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14,04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11,700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FB6B4A" w:rsidRDefault="00FB6B4A" w:rsidP="00FB6B4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FB3812">
        <w:trPr>
          <w:trHeight w:hRule="exact" w:val="7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FB3812">
        <w:trPr>
          <w:trHeight w:hRule="exact" w:val="7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FB3812" w:rsidTr="00FB3812">
        <w:trPr>
          <w:trHeight w:hRule="exact" w:val="84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Ноутбук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FB3812" w:rsidP="00A35CA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236,</w:t>
            </w:r>
            <w:r w:rsidR="00A35CA6">
              <w:rPr>
                <w:rFonts w:ascii="Times New Roman" w:hAnsi="Times New Roman"/>
                <w:b/>
              </w:rPr>
              <w:t>5</w:t>
            </w:r>
            <w:r w:rsidR="00B8264F">
              <w:rPr>
                <w:rFonts w:ascii="Times New Roman" w:hAnsi="Times New Roman"/>
                <w:b/>
              </w:rPr>
              <w:t>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D86244" w:rsidRDefault="00D86244" w:rsidP="00D86244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            3.2.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hAnsi="Times New Roman"/>
        </w:rPr>
        <w:t>дств в р</w:t>
      </w:r>
      <w:proofErr w:type="gramEnd"/>
      <w:r>
        <w:rPr>
          <w:rFonts w:ascii="Times New Roman" w:hAnsi="Times New Roman"/>
        </w:rPr>
        <w:t>амках затрат на информационно-коммуникационные технологии:</w:t>
      </w: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414"/>
        <w:gridCol w:w="2800"/>
        <w:gridCol w:w="2653"/>
        <w:gridCol w:w="1937"/>
      </w:tblGrid>
      <w:tr w:rsidR="00D86244" w:rsidTr="00FB6B4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86244" w:rsidTr="00FB6B4A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мягких модулей, 20 элементов, 25*25 см, большой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25,000</w:t>
            </w:r>
          </w:p>
        </w:tc>
      </w:tr>
      <w:tr w:rsidR="00D86244" w:rsidTr="00FB6B4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</w:pPr>
            <w:r>
              <w:rPr>
                <w:rFonts w:ascii="Times New Roman" w:hAnsi="Times New Roman"/>
                <w:b/>
              </w:rPr>
              <w:t>37,78390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2453,64654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37,78390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37,78390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8027E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8027EE" w:rsidP="008027E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  <w:r w:rsidR="00C97D93">
              <w:rPr>
                <w:rFonts w:ascii="Times New Roman" w:hAnsi="Times New Roman"/>
                <w:b/>
              </w:rPr>
              <w:t>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F49AA" w:rsidP="00EF49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175,85864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D738E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389,90104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5.1.1. Затраты на техническое обслуживание и регламентно-профилактический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5"/>
        <w:gridCol w:w="2210"/>
        <w:gridCol w:w="1726"/>
        <w:gridCol w:w="1726"/>
        <w:gridCol w:w="1599"/>
      </w:tblGrid>
      <w:tr w:rsidR="00961E69" w:rsidTr="00B954C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EF49A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97D93">
              <w:rPr>
                <w:rFonts w:ascii="Times New Roman" w:hAnsi="Times New Roman"/>
              </w:rPr>
              <w:t>,</w:t>
            </w:r>
            <w:r w:rsidR="00EF49AA">
              <w:rPr>
                <w:rFonts w:ascii="Times New Roman" w:hAnsi="Times New Roman"/>
              </w:rPr>
              <w:t>36960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54C0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D738E" w:rsidP="00C0580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194,07304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подлежащих </w:t>
            </w:r>
            <w:r>
              <w:rPr>
                <w:rFonts w:ascii="Times New Roman" w:hAnsi="Times New Roman"/>
              </w:rPr>
              <w:lastRenderedPageBreak/>
              <w:t>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на год              </w:t>
            </w:r>
            <w:r>
              <w:rPr>
                <w:rFonts w:ascii="Times New Roman" w:hAnsi="Times New Roman"/>
              </w:rPr>
              <w:lastRenderedPageBreak/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4CB8">
              <w:rPr>
                <w:rFonts w:ascii="Times New Roman" w:hAnsi="Times New Roman"/>
              </w:rPr>
              <w:t>5</w:t>
            </w:r>
          </w:p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2946,42</w:t>
            </w:r>
          </w:p>
          <w:p w:rsidR="00EB4CB8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EB4CB8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EB4CB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="00C97D93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EB4CB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B4CB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3E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5F3E1A">
              <w:rPr>
                <w:rFonts w:ascii="Times New Roman" w:hAnsi="Times New Roman"/>
              </w:rPr>
              <w:t>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3E1A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90,480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92,040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 w:rsidP="000D738E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0D738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детей и сотрудников на гильменты,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157,686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заклещеванность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5F3E1A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психиатрического освидетельствования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 w:rsidP="00FB3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  <w:b/>
              </w:rPr>
            </w:pPr>
          </w:p>
          <w:p w:rsidR="005F3E1A" w:rsidRPr="005F3E1A" w:rsidRDefault="005F3E1A" w:rsidP="00FB3812">
            <w:pPr>
              <w:jc w:val="center"/>
              <w:rPr>
                <w:rFonts w:ascii="Times New Roman" w:hAnsi="Times New Roman"/>
              </w:rPr>
            </w:pPr>
            <w:r w:rsidRPr="005F3E1A"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  <w:r w:rsidRPr="005F3E1A">
              <w:rPr>
                <w:rFonts w:ascii="Times New Roman" w:hAnsi="Times New Roman"/>
              </w:rPr>
              <w:t>,000</w:t>
            </w:r>
          </w:p>
        </w:tc>
      </w:tr>
      <w:tr w:rsidR="007333EF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Pr="007333EF" w:rsidRDefault="007333EF" w:rsidP="007333EF">
            <w:pPr>
              <w:jc w:val="center"/>
              <w:rPr>
                <w:rFonts w:ascii="Times New Roman" w:hAnsi="Times New Roman"/>
              </w:rPr>
            </w:pPr>
            <w:r w:rsidRPr="007333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 w:rsidRPr="007333EF"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 w:rsidP="00FB38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  <w:r w:rsidR="00FB381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,60152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1395"/>
        <w:gridCol w:w="1470"/>
        <w:gridCol w:w="1575"/>
        <w:gridCol w:w="1843"/>
        <w:gridCol w:w="1600"/>
      </w:tblGrid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</w:p>
        </w:tc>
      </w:tr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</w:t>
            </w:r>
            <w:proofErr w:type="gramStart"/>
            <w:r w:rsidR="00C97D93" w:rsidRPr="004A2D83">
              <w:rPr>
                <w:rFonts w:ascii="Times New Roman" w:hAnsi="Times New Roman"/>
              </w:rPr>
              <w:t>ы(</w:t>
            </w:r>
            <w:proofErr w:type="gramEnd"/>
            <w:r w:rsidR="00C97D93" w:rsidRPr="004A2D83"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316147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9,</w:t>
            </w:r>
            <w:r w:rsidR="00316147" w:rsidRPr="004A2D83">
              <w:rPr>
                <w:rFonts w:ascii="Times New Roman" w:hAnsi="Times New Roman"/>
              </w:rPr>
              <w:t>855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 с </w:t>
            </w:r>
            <w:proofErr w:type="gramStart"/>
            <w:r>
              <w:rPr>
                <w:rFonts w:ascii="Times New Roman" w:hAnsi="Times New Roman"/>
              </w:rPr>
              <w:t>крупными</w:t>
            </w:r>
            <w:proofErr w:type="gramEnd"/>
            <w:r>
              <w:rPr>
                <w:rFonts w:ascii="Times New Roman" w:hAnsi="Times New Roman"/>
              </w:rPr>
              <w:t xml:space="preserve">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5F3E1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3776"/>
        <w:gridCol w:w="1258"/>
        <w:gridCol w:w="1340"/>
        <w:gridCol w:w="1289"/>
        <w:gridCol w:w="1441"/>
      </w:tblGrid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</w:rPr>
              <w:t>дето\дней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300,560</w:t>
            </w:r>
          </w:p>
        </w:tc>
      </w:tr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143,56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0,14356</w:t>
            </w:r>
          </w:p>
        </w:tc>
      </w:tr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5083,33020</w:t>
            </w:r>
          </w:p>
        </w:tc>
      </w:tr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170,70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5,29170</w:t>
            </w:r>
          </w:p>
        </w:tc>
      </w:tr>
      <w:tr w:rsidR="000D5ECC" w:rsidTr="00C30F94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ECC" w:rsidRDefault="000D5ECC" w:rsidP="00C30F94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5389,32546</w:t>
            </w:r>
          </w:p>
        </w:tc>
      </w:tr>
    </w:tbl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FB6B4A"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61E69"/>
    <w:rsid w:val="000D5ECC"/>
    <w:rsid w:val="000D738E"/>
    <w:rsid w:val="000F08A5"/>
    <w:rsid w:val="000F2500"/>
    <w:rsid w:val="000F4BE0"/>
    <w:rsid w:val="001A3977"/>
    <w:rsid w:val="001F5622"/>
    <w:rsid w:val="002771D7"/>
    <w:rsid w:val="00292533"/>
    <w:rsid w:val="002C400B"/>
    <w:rsid w:val="003050BF"/>
    <w:rsid w:val="00316147"/>
    <w:rsid w:val="00465DE8"/>
    <w:rsid w:val="004A2D83"/>
    <w:rsid w:val="005619CD"/>
    <w:rsid w:val="005F3E1A"/>
    <w:rsid w:val="006F0D6E"/>
    <w:rsid w:val="007333EF"/>
    <w:rsid w:val="007B2560"/>
    <w:rsid w:val="008027EE"/>
    <w:rsid w:val="00934132"/>
    <w:rsid w:val="00961E69"/>
    <w:rsid w:val="009732A8"/>
    <w:rsid w:val="009C2B91"/>
    <w:rsid w:val="009D1210"/>
    <w:rsid w:val="00A35CA6"/>
    <w:rsid w:val="00AA4F8D"/>
    <w:rsid w:val="00AB0494"/>
    <w:rsid w:val="00B74FF3"/>
    <w:rsid w:val="00B8264F"/>
    <w:rsid w:val="00B954C0"/>
    <w:rsid w:val="00C0580E"/>
    <w:rsid w:val="00C97D93"/>
    <w:rsid w:val="00D4775A"/>
    <w:rsid w:val="00D86244"/>
    <w:rsid w:val="00DA7793"/>
    <w:rsid w:val="00EB4CB8"/>
    <w:rsid w:val="00EF49AA"/>
    <w:rsid w:val="00F809BD"/>
    <w:rsid w:val="00FB3812"/>
    <w:rsid w:val="00FB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43CD-4709-4117-A166-0F989B85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Бухгалтер_2</cp:lastModifiedBy>
  <cp:revision>20</cp:revision>
  <cp:lastPrinted>2025-10-02T09:05:00Z</cp:lastPrinted>
  <dcterms:created xsi:type="dcterms:W3CDTF">2025-10-02T09:06:00Z</dcterms:created>
  <dcterms:modified xsi:type="dcterms:W3CDTF">2025-11-27T10:41:00Z</dcterms:modified>
</cp:coreProperties>
</file>